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888A09" w14:textId="3BC794EF" w:rsidR="00FB254C" w:rsidRPr="00957B02" w:rsidRDefault="00FB348A" w:rsidP="00FB254C">
      <w:pPr>
        <w:spacing w:after="0" w:line="240" w:lineRule="auto"/>
        <w:jc w:val="center"/>
        <w:rPr>
          <w:rFonts w:ascii="Calibri" w:hAnsi="Calibri" w:cs="Calibri"/>
          <w:b/>
          <w:bCs/>
          <w:sz w:val="28"/>
          <w:szCs w:val="28"/>
        </w:rPr>
      </w:pPr>
      <w:r>
        <w:rPr>
          <w:rFonts w:ascii="Calibri" w:hAnsi="Calibri" w:cs="Calibri"/>
          <w:b/>
          <w:bCs/>
          <w:noProof/>
          <w:sz w:val="28"/>
          <w:szCs w:val="28"/>
        </w:rPr>
        <w:drawing>
          <wp:anchor distT="0" distB="0" distL="114300" distR="114300" simplePos="0" relativeHeight="251659264" behindDoc="0" locked="0" layoutInCell="1" allowOverlap="1" wp14:anchorId="6074276C" wp14:editId="7F6F28D7">
            <wp:simplePos x="0" y="0"/>
            <wp:positionH relativeFrom="margin">
              <wp:posOffset>6350</wp:posOffset>
            </wp:positionH>
            <wp:positionV relativeFrom="paragraph">
              <wp:posOffset>372745</wp:posOffset>
            </wp:positionV>
            <wp:extent cx="5745480" cy="2080260"/>
            <wp:effectExtent l="0" t="0" r="7620" b="0"/>
            <wp:wrapSquare wrapText="bothSides"/>
            <wp:docPr id="119527079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70791" name="Obrázek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5745480" cy="208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550" w:rsidRPr="008E2550">
        <w:rPr>
          <w:rFonts w:ascii="Calibri" w:hAnsi="Calibri" w:cs="Calibri"/>
          <w:b/>
          <w:bCs/>
          <w:noProof/>
          <w:sz w:val="28"/>
          <w:szCs w:val="28"/>
        </w:rPr>
        <w:t>Bezprzewodowy głośnik</w:t>
      </w:r>
      <w:r w:rsidR="008E2550">
        <w:rPr>
          <w:rFonts w:ascii="Calibri" w:hAnsi="Calibri" w:cs="Calibri"/>
          <w:b/>
          <w:bCs/>
          <w:noProof/>
          <w:sz w:val="28"/>
          <w:szCs w:val="28"/>
        </w:rPr>
        <w:t xml:space="preserve"> </w:t>
      </w:r>
      <w:r w:rsidR="0031150C">
        <w:rPr>
          <w:rFonts w:ascii="Calibri" w:hAnsi="Calibri" w:cs="Calibri"/>
          <w:b/>
          <w:bCs/>
          <w:sz w:val="28"/>
          <w:szCs w:val="28"/>
        </w:rPr>
        <w:t>SoundJoy</w:t>
      </w:r>
      <w:r w:rsidR="00FB254C" w:rsidRPr="00957B02">
        <w:rPr>
          <w:rFonts w:ascii="Calibri" w:hAnsi="Calibri" w:cs="Calibri"/>
          <w:b/>
          <w:bCs/>
          <w:sz w:val="28"/>
          <w:szCs w:val="28"/>
        </w:rPr>
        <w:t xml:space="preserve"> Concept BR</w:t>
      </w:r>
      <w:r w:rsidR="0031150C">
        <w:rPr>
          <w:rFonts w:ascii="Calibri" w:hAnsi="Calibri" w:cs="Calibri"/>
          <w:b/>
          <w:bCs/>
          <w:sz w:val="28"/>
          <w:szCs w:val="28"/>
        </w:rPr>
        <w:t>5</w:t>
      </w:r>
      <w:r w:rsidR="00F50C70">
        <w:rPr>
          <w:rFonts w:ascii="Calibri" w:hAnsi="Calibri" w:cs="Calibri"/>
          <w:b/>
          <w:bCs/>
          <w:sz w:val="28"/>
          <w:szCs w:val="28"/>
        </w:rPr>
        <w:t>53</w:t>
      </w:r>
      <w:r w:rsidR="00FB254C" w:rsidRPr="00957B02">
        <w:rPr>
          <w:rFonts w:ascii="Calibri" w:hAnsi="Calibri" w:cs="Calibri"/>
          <w:b/>
          <w:bCs/>
          <w:sz w:val="28"/>
          <w:szCs w:val="28"/>
        </w:rPr>
        <w:t>0</w:t>
      </w:r>
    </w:p>
    <w:p w14:paraId="780EC21B" w14:textId="22EB68B6" w:rsidR="00FB254C" w:rsidRPr="00957B02" w:rsidRDefault="00FB254C" w:rsidP="00FB254C">
      <w:pPr>
        <w:spacing w:after="0" w:line="240" w:lineRule="auto"/>
        <w:jc w:val="center"/>
        <w:rPr>
          <w:rFonts w:ascii="Calibri" w:hAnsi="Calibri" w:cs="Calibri"/>
        </w:rPr>
      </w:pPr>
    </w:p>
    <w:p w14:paraId="4DC73F7C" w14:textId="24F666AE" w:rsidR="00FB254C" w:rsidRPr="00957B02" w:rsidRDefault="008E2550" w:rsidP="00FB254C">
      <w:pPr>
        <w:spacing w:after="0" w:line="240" w:lineRule="auto"/>
        <w:jc w:val="center"/>
        <w:rPr>
          <w:rFonts w:ascii="Calibri" w:hAnsi="Calibri" w:cs="Calibri"/>
          <w:b/>
          <w:bCs/>
        </w:rPr>
      </w:pPr>
      <w:r>
        <w:rPr>
          <w:rFonts w:ascii="Calibri" w:hAnsi="Calibri" w:cs="Calibri"/>
          <w:b/>
          <w:bCs/>
          <w:noProof/>
          <w:sz w:val="28"/>
          <w:szCs w:val="28"/>
        </w:rPr>
        <w:drawing>
          <wp:anchor distT="0" distB="0" distL="114300" distR="114300" simplePos="0" relativeHeight="251662336" behindDoc="0" locked="0" layoutInCell="1" allowOverlap="1" wp14:anchorId="5967E228" wp14:editId="2A934A3D">
            <wp:simplePos x="0" y="0"/>
            <wp:positionH relativeFrom="margin">
              <wp:posOffset>-36830</wp:posOffset>
            </wp:positionH>
            <wp:positionV relativeFrom="paragraph">
              <wp:posOffset>654685</wp:posOffset>
            </wp:positionV>
            <wp:extent cx="5760000" cy="2979310"/>
            <wp:effectExtent l="0" t="0" r="0" b="0"/>
            <wp:wrapSquare wrapText="bothSides"/>
            <wp:docPr id="3402613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00" cy="2979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2550">
        <w:rPr>
          <w:rFonts w:ascii="Calibri" w:hAnsi="Calibri" w:cs="Calibri"/>
          <w:b/>
          <w:bCs/>
        </w:rPr>
        <w:t>Dźwięk 360°</w:t>
      </w:r>
      <w:r w:rsidRPr="008E2550">
        <w:rPr>
          <w:rFonts w:ascii="Calibri" w:hAnsi="Calibri" w:cs="Calibri"/>
          <w:b/>
          <w:bCs/>
        </w:rPr>
        <w:br/>
        <w:t>Moc 30 W</w:t>
      </w:r>
      <w:r w:rsidRPr="008E2550">
        <w:rPr>
          <w:rFonts w:ascii="Calibri" w:hAnsi="Calibri" w:cs="Calibri"/>
          <w:b/>
          <w:bCs/>
        </w:rPr>
        <w:br/>
        <w:t>Czas pracy do 19 h</w:t>
      </w:r>
    </w:p>
    <w:p w14:paraId="4A48320D" w14:textId="77777777" w:rsidR="008E2550" w:rsidRDefault="008E2550" w:rsidP="00FB254C">
      <w:pPr>
        <w:spacing w:after="0" w:line="240" w:lineRule="auto"/>
        <w:rPr>
          <w:rFonts w:ascii="Calibri" w:hAnsi="Calibri" w:cs="Calibri"/>
          <w:noProof/>
          <w:u w:val="single"/>
        </w:rPr>
      </w:pPr>
      <w:r w:rsidRPr="008E2550">
        <w:rPr>
          <w:rFonts w:ascii="Calibri" w:hAnsi="Calibri" w:cs="Calibri"/>
          <w:noProof/>
          <w:u w:val="single"/>
        </w:rPr>
        <w:t>Dźwięk, który otacza Cię ze wszystkich stron</w:t>
      </w:r>
      <w:r w:rsidRPr="008E2550">
        <w:rPr>
          <w:rFonts w:ascii="Calibri" w:hAnsi="Calibri" w:cs="Calibri"/>
          <w:noProof/>
          <w:u w:val="single"/>
        </w:rPr>
        <w:br/>
      </w:r>
      <w:r w:rsidRPr="008E2550">
        <w:rPr>
          <w:rFonts w:ascii="Calibri" w:hAnsi="Calibri" w:cs="Calibri"/>
          <w:noProof/>
        </w:rPr>
        <w:t>SoundJoy BR5530 dosłownie otoczy Cię muzyką. Dzięki technologii 360° audio dźwięk równomiernie rozchodzi się po całej przestrzeni – niezależnie od tego, czy stoisz na środku pomieszczenia, czy siedzisz dalej, muzyka brzmi równie intensywnie i dynamicznie. Dwa wydajne przetworniki o mocy 30 W zapewniają głębię, energię i idealne zrównoważenie brzmienia – z wyrazistym basem, czystymi tonami średnimi i klarownymi wysokimi. Idealny wybór na spokojny wieczór, spotkanie z przyjaciółmi czy mniejszą imprezę.</w:t>
      </w:r>
    </w:p>
    <w:p w14:paraId="503B4133" w14:textId="1188DB0D" w:rsidR="006C5B41" w:rsidRPr="00286549" w:rsidRDefault="008050A7" w:rsidP="00FB254C">
      <w:pPr>
        <w:spacing w:after="0" w:line="240" w:lineRule="auto"/>
        <w:rPr>
          <w:rFonts w:ascii="Calibri" w:hAnsi="Calibri" w:cs="Calibri"/>
        </w:rPr>
      </w:pPr>
      <w:r>
        <w:rPr>
          <w:rFonts w:ascii="Calibri" w:hAnsi="Calibri" w:cs="Calibri"/>
          <w:noProof/>
        </w:rPr>
        <w:lastRenderedPageBreak/>
        <w:drawing>
          <wp:inline distT="0" distB="0" distL="0" distR="0" wp14:anchorId="0FE5A185" wp14:editId="26F8C55B">
            <wp:extent cx="5760000" cy="2979310"/>
            <wp:effectExtent l="0" t="0" r="0" b="0"/>
            <wp:docPr id="28622829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00" cy="2979310"/>
                    </a:xfrm>
                    <a:prstGeom prst="rect">
                      <a:avLst/>
                    </a:prstGeom>
                    <a:noFill/>
                    <a:ln>
                      <a:noFill/>
                    </a:ln>
                  </pic:spPr>
                </pic:pic>
              </a:graphicData>
            </a:graphic>
          </wp:inline>
        </w:drawing>
      </w:r>
    </w:p>
    <w:p w14:paraId="104C9983" w14:textId="78718935" w:rsidR="008E2550" w:rsidRDefault="008E2550" w:rsidP="00972EE7">
      <w:pPr>
        <w:spacing w:after="0" w:line="240" w:lineRule="auto"/>
        <w:rPr>
          <w:rFonts w:ascii="Calibri" w:hAnsi="Calibri" w:cs="Calibri"/>
        </w:rPr>
      </w:pPr>
      <w:r w:rsidRPr="008E2550">
        <w:rPr>
          <w:rFonts w:ascii="Calibri" w:hAnsi="Calibri" w:cs="Calibri"/>
          <w:u w:val="single"/>
        </w:rPr>
        <w:t>Wytrzymałość, która Cię nie zawiedzie</w:t>
      </w:r>
      <w:r w:rsidRPr="008E2550">
        <w:rPr>
          <w:rFonts w:ascii="Calibri" w:hAnsi="Calibri" w:cs="Calibri"/>
          <w:u w:val="single"/>
        </w:rPr>
        <w:br/>
      </w:r>
      <w:r w:rsidRPr="008E2550">
        <w:rPr>
          <w:rFonts w:ascii="Calibri" w:hAnsi="Calibri" w:cs="Calibri"/>
        </w:rPr>
        <w:t>Głośnik SoundJoy BR5530 potrafi naprawdę rozkręcić atmosferę. Przy wysokiej głośności około 70% działa nawet do 16 godzin bez podświetlenia i 9 godzin z włączonymi efektami LED – potwierdzone w rzeczywistym użytkowaniu. Przy spokojnym słuchaniu w domu wytrzyma jeszcze dłużej – nawet do 19 godzin przy niższej głośności. Wydajny wbudowany akumulator zapewnia długie i nieprzerwane muzyczne wrażenia. Dzięki ochronie IPX5 nie musisz obawiać się zachlapania wodą ani kurzu, dlatego głośnik świetnie sprawdzi się również na zewnątrz – na pikniku, grillu czy przy basenie.</w:t>
      </w:r>
    </w:p>
    <w:p w14:paraId="5DFFA2C8" w14:textId="345819E3" w:rsidR="003F6495" w:rsidRDefault="008050A7" w:rsidP="009D0324">
      <w:pPr>
        <w:spacing w:after="0" w:line="240" w:lineRule="auto"/>
        <w:rPr>
          <w:rFonts w:ascii="Calibri" w:hAnsi="Calibri" w:cs="Calibri"/>
          <w:color w:val="0070C0"/>
        </w:rPr>
      </w:pPr>
      <w:r>
        <w:rPr>
          <w:rFonts w:ascii="Calibri" w:hAnsi="Calibri" w:cs="Calibri"/>
          <w:noProof/>
          <w:color w:val="0070C0"/>
        </w:rPr>
        <w:drawing>
          <wp:anchor distT="0" distB="0" distL="114300" distR="114300" simplePos="0" relativeHeight="251663360" behindDoc="0" locked="0" layoutInCell="1" allowOverlap="1" wp14:anchorId="4746C2FE" wp14:editId="7487565F">
            <wp:simplePos x="0" y="0"/>
            <wp:positionH relativeFrom="column">
              <wp:posOffset>-635</wp:posOffset>
            </wp:positionH>
            <wp:positionV relativeFrom="paragraph">
              <wp:posOffset>635</wp:posOffset>
            </wp:positionV>
            <wp:extent cx="5760000" cy="2979310"/>
            <wp:effectExtent l="0" t="0" r="0" b="0"/>
            <wp:wrapSquare wrapText="bothSides"/>
            <wp:docPr id="211453550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00" cy="2979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2A5AA" w14:textId="4E8A6662" w:rsidR="003F6495" w:rsidRDefault="008E2550" w:rsidP="00FB254C">
      <w:pPr>
        <w:spacing w:after="0" w:line="240" w:lineRule="auto"/>
        <w:rPr>
          <w:rFonts w:ascii="Calibri" w:hAnsi="Calibri" w:cs="Calibri"/>
        </w:rPr>
      </w:pPr>
      <w:r w:rsidRPr="008E2550">
        <w:rPr>
          <w:rFonts w:ascii="Calibri" w:hAnsi="Calibri" w:cs="Calibri"/>
          <w:u w:val="single"/>
        </w:rPr>
        <w:t>Doskonała atmosfera z ambientowym podświetleniem LED</w:t>
      </w:r>
      <w:r w:rsidRPr="008E2550">
        <w:rPr>
          <w:rFonts w:ascii="Calibri" w:hAnsi="Calibri" w:cs="Calibri"/>
          <w:u w:val="single"/>
        </w:rPr>
        <w:br/>
      </w:r>
      <w:r w:rsidRPr="008E2550">
        <w:rPr>
          <w:rFonts w:ascii="Calibri" w:hAnsi="Calibri" w:cs="Calibri"/>
        </w:rPr>
        <w:t>Głośnik SoundJoy Concept BR5530 oferuje siedem trybów ambientowego podświetlenia LED, które reaguje na muzykę. Niezależnie od tego, czy relaksujesz się w domu, czy organizujesz imprezę ze znajomymi, efekty świetlne nadadzą każdej chwili wyjątkowy klimat. W przypadku spokojniejszego słuchania lub oszczędzania energii podświetlenie można w każdej chwili wyłączyć.</w:t>
      </w:r>
    </w:p>
    <w:p w14:paraId="2AB16FBD" w14:textId="53479268" w:rsidR="008B5742" w:rsidRPr="00B931C9" w:rsidRDefault="008050A7" w:rsidP="00FB254C">
      <w:pPr>
        <w:spacing w:after="0" w:line="240" w:lineRule="auto"/>
        <w:rPr>
          <w:rFonts w:ascii="Calibri" w:hAnsi="Calibri" w:cs="Calibri"/>
          <w:u w:val="single"/>
        </w:rPr>
      </w:pPr>
      <w:r>
        <w:rPr>
          <w:rFonts w:ascii="Calibri" w:hAnsi="Calibri" w:cs="Calibri"/>
          <w:noProof/>
        </w:rPr>
        <w:lastRenderedPageBreak/>
        <w:drawing>
          <wp:anchor distT="0" distB="0" distL="114300" distR="114300" simplePos="0" relativeHeight="251666432" behindDoc="0" locked="0" layoutInCell="1" allowOverlap="1" wp14:anchorId="41CE7A2A" wp14:editId="03B034E6">
            <wp:simplePos x="0" y="0"/>
            <wp:positionH relativeFrom="margin">
              <wp:posOffset>3961130</wp:posOffset>
            </wp:positionH>
            <wp:positionV relativeFrom="paragraph">
              <wp:posOffset>76200</wp:posOffset>
            </wp:positionV>
            <wp:extent cx="1799590" cy="1283970"/>
            <wp:effectExtent l="0" t="0" r="0" b="0"/>
            <wp:wrapSquare wrapText="bothSides"/>
            <wp:docPr id="77570848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EA8407" w14:textId="1D80B2EB" w:rsidR="000A5A45" w:rsidRDefault="008E2550" w:rsidP="000A5A45">
      <w:pPr>
        <w:spacing w:after="0" w:line="240" w:lineRule="auto"/>
        <w:rPr>
          <w:rFonts w:ascii="Calibri" w:hAnsi="Calibri" w:cs="Calibri"/>
        </w:rPr>
      </w:pPr>
      <w:r w:rsidRPr="008E2550">
        <w:rPr>
          <w:rFonts w:ascii="Calibri" w:hAnsi="Calibri" w:cs="Calibri"/>
          <w:u w:val="single"/>
        </w:rPr>
        <w:t>Głośnik na każdą okazję</w:t>
      </w:r>
      <w:r w:rsidRPr="008E2550">
        <w:rPr>
          <w:rFonts w:ascii="Calibri" w:hAnsi="Calibri" w:cs="Calibri"/>
        </w:rPr>
        <w:br/>
        <w:t>Z bezprzewodowym głośnikiem SoundJoy Concept BR5530 możesz cieszyć się muzyką zawsze i wszędzie. Szybkie i stabilne połączenie przez Bluetooth 5.3 oraz możliwość odtwarzania przez AUX, kartę TF lub USB zapewniają maksymalną elastyczność podczas słuchania w domu, na zewnątrz i w podróży. Praktyczną funkcją jest obsługa połączeń handsfree, dzięki której możesz wygodnie odebrać telefon bez sięgania po smartfon. Dodatkowo model BR5530 może służyć jako powerbank, co pozwala łatwo naładować telefon lub inne urządzenie, nawet poza domem.</w:t>
      </w:r>
    </w:p>
    <w:p w14:paraId="38468DC6" w14:textId="77777777" w:rsidR="007041EB" w:rsidRDefault="007041EB" w:rsidP="00FB254C">
      <w:pPr>
        <w:spacing w:after="0" w:line="240" w:lineRule="auto"/>
        <w:rPr>
          <w:rFonts w:ascii="Calibri" w:hAnsi="Calibri" w:cs="Calibri"/>
        </w:rPr>
      </w:pPr>
    </w:p>
    <w:p w14:paraId="3C26A9D6" w14:textId="28A188EC" w:rsidR="008050A7" w:rsidRPr="00ED6178" w:rsidRDefault="008050A7" w:rsidP="008050A7">
      <w:pPr>
        <w:spacing w:after="0" w:line="240" w:lineRule="auto"/>
        <w:rPr>
          <w:rFonts w:ascii="Calibri" w:hAnsi="Calibri" w:cs="Calibri"/>
          <w:u w:val="single"/>
        </w:rPr>
      </w:pPr>
      <w:r>
        <w:rPr>
          <w:rFonts w:ascii="Calibri" w:hAnsi="Calibri" w:cs="Calibri"/>
          <w:noProof/>
          <w:u w:val="single"/>
        </w:rPr>
        <w:drawing>
          <wp:anchor distT="0" distB="0" distL="114300" distR="114300" simplePos="0" relativeHeight="251665408" behindDoc="0" locked="0" layoutInCell="1" allowOverlap="1" wp14:anchorId="23917A7B" wp14:editId="62E7E44D">
            <wp:simplePos x="0" y="0"/>
            <wp:positionH relativeFrom="margin">
              <wp:posOffset>0</wp:posOffset>
            </wp:positionH>
            <wp:positionV relativeFrom="paragraph">
              <wp:posOffset>167640</wp:posOffset>
            </wp:positionV>
            <wp:extent cx="1799590" cy="1199515"/>
            <wp:effectExtent l="0" t="0" r="0" b="635"/>
            <wp:wrapSquare wrapText="bothSides"/>
            <wp:docPr id="615858426" name="Obrázek 3" descr="Obsah obrázku válec, nealkoholický nápoj, modrá, umění&#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58426" name="Obrázek 3" descr="Obsah obrázku válec, nealkoholický nápoj, modrá, umění&#10;&#10;Obsah generovaný pomocí AI může být nesprávný."/>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1199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951BB" w14:textId="74CCDCFF" w:rsidR="008050A7" w:rsidRPr="00ED6178" w:rsidRDefault="00ED0EC8" w:rsidP="008050A7">
      <w:pPr>
        <w:spacing w:after="0" w:line="240" w:lineRule="auto"/>
        <w:rPr>
          <w:rFonts w:ascii="Calibri" w:hAnsi="Calibri" w:cs="Calibri"/>
        </w:rPr>
      </w:pPr>
      <w:r w:rsidRPr="00ED0EC8">
        <w:rPr>
          <w:rFonts w:ascii="Calibri" w:hAnsi="Calibri" w:cs="Calibri"/>
          <w:u w:val="single"/>
        </w:rPr>
        <w:t>Jeszcze więcej muzyki z TWS</w:t>
      </w:r>
      <w:r w:rsidRPr="00ED0EC8">
        <w:rPr>
          <w:rFonts w:ascii="Calibri" w:hAnsi="Calibri" w:cs="Calibri"/>
        </w:rPr>
        <w:br/>
        <w:t>Chcesz dźwięku, który naprawdę Cię pochłonie? Sparuj dwa identyczne głośniki (BR5530 lub BR5532) za pomocą funkcji TWS (True Wireless Stereo) i ciesz się prawdziwym stereo, które wypełni przestrzeń ze wszystkich stron. Para głośników tworzy znacznie pełniejsze i bardziej przestrzenne brzmienie – jakbyś stał w samym środku koncertu.</w:t>
      </w:r>
    </w:p>
    <w:p w14:paraId="79869C4A" w14:textId="77777777" w:rsidR="008050A7" w:rsidRPr="00B931C9" w:rsidRDefault="008050A7" w:rsidP="00FB254C">
      <w:pPr>
        <w:spacing w:after="0" w:line="240" w:lineRule="auto"/>
        <w:rPr>
          <w:rFonts w:ascii="Calibri" w:hAnsi="Calibri" w:cs="Calibri"/>
        </w:rPr>
      </w:pPr>
    </w:p>
    <w:p w14:paraId="1930A2B2" w14:textId="5C7BA890" w:rsidR="001347D8" w:rsidRPr="009171A0" w:rsidRDefault="001347D8" w:rsidP="001347D8">
      <w:pPr>
        <w:spacing w:after="0" w:line="240" w:lineRule="auto"/>
        <w:rPr>
          <w:rFonts w:ascii="Calibri" w:hAnsi="Calibri" w:cs="Calibri"/>
          <w:u w:val="single"/>
        </w:rPr>
      </w:pPr>
      <w:r w:rsidRPr="009171A0">
        <w:rPr>
          <w:rFonts w:ascii="Calibri" w:hAnsi="Calibri" w:cs="Calibri"/>
          <w:u w:val="single"/>
        </w:rPr>
        <w:t>Technic</w:t>
      </w:r>
      <w:r w:rsidR="00ED0EC8">
        <w:rPr>
          <w:rFonts w:ascii="Calibri" w:hAnsi="Calibri" w:cs="Calibri"/>
          <w:u w:val="single"/>
        </w:rPr>
        <w:t>zne</w:t>
      </w:r>
      <w:r w:rsidRPr="009171A0">
        <w:rPr>
          <w:rFonts w:ascii="Calibri" w:hAnsi="Calibri" w:cs="Calibri"/>
          <w:u w:val="single"/>
        </w:rPr>
        <w:t xml:space="preserve"> parametry:</w:t>
      </w:r>
    </w:p>
    <w:p w14:paraId="33F10C78" w14:textId="56E38CD1" w:rsidR="00B74579" w:rsidRDefault="00ED0EC8" w:rsidP="00B74579">
      <w:pPr>
        <w:spacing w:after="0" w:line="240" w:lineRule="auto"/>
        <w:rPr>
          <w:rFonts w:ascii="Calibri" w:hAnsi="Calibri" w:cs="Calibri"/>
        </w:rPr>
      </w:pPr>
      <w:r w:rsidRPr="00ED0EC8">
        <w:rPr>
          <w:rFonts w:ascii="Calibri" w:hAnsi="Calibri" w:cs="Calibri"/>
        </w:rPr>
        <w:t>Maksymalny czas pracy baterii: 19 h</w:t>
      </w:r>
      <w:r w:rsidRPr="00ED0EC8">
        <w:rPr>
          <w:rFonts w:ascii="Calibri" w:hAnsi="Calibri" w:cs="Calibri"/>
        </w:rPr>
        <w:br/>
        <w:t>Czas pracy przy 70% głośności: 16 godzin / 9 godzin z włączonym LED</w:t>
      </w:r>
      <w:r w:rsidRPr="00ED0EC8">
        <w:rPr>
          <w:rFonts w:ascii="Calibri" w:hAnsi="Calibri" w:cs="Calibri"/>
        </w:rPr>
        <w:br/>
        <w:t>Czas ładowania: 3 h</w:t>
      </w:r>
      <w:r w:rsidRPr="00ED0EC8">
        <w:rPr>
          <w:rFonts w:ascii="Calibri" w:hAnsi="Calibri" w:cs="Calibri"/>
        </w:rPr>
        <w:br/>
        <w:t>Akumulator: 7,4 V 2000 mAh</w:t>
      </w:r>
      <w:r w:rsidRPr="00ED0EC8">
        <w:rPr>
          <w:rFonts w:ascii="Calibri" w:hAnsi="Calibri" w:cs="Calibri"/>
        </w:rPr>
        <w:br/>
        <w:t>Moc: 30 W</w:t>
      </w:r>
      <w:r w:rsidRPr="00ED0EC8">
        <w:rPr>
          <w:rFonts w:ascii="Calibri" w:hAnsi="Calibri" w:cs="Calibri"/>
        </w:rPr>
        <w:br/>
        <w:t>Ambientowe podświetlenie LED (7 trybów)</w:t>
      </w:r>
      <w:r w:rsidRPr="00ED0EC8">
        <w:rPr>
          <w:rFonts w:ascii="Calibri" w:hAnsi="Calibri" w:cs="Calibri"/>
        </w:rPr>
        <w:br/>
        <w:t>Wodoodporność: IPX5</w:t>
      </w:r>
      <w:r w:rsidRPr="00ED0EC8">
        <w:rPr>
          <w:rFonts w:ascii="Calibri" w:hAnsi="Calibri" w:cs="Calibri"/>
        </w:rPr>
        <w:br/>
        <w:t>Obsługa połączeń handsfree</w:t>
      </w:r>
      <w:r w:rsidRPr="00ED0EC8">
        <w:rPr>
          <w:rFonts w:ascii="Calibri" w:hAnsi="Calibri" w:cs="Calibri"/>
        </w:rPr>
        <w:br/>
        <w:t>Proste sterowanie</w:t>
      </w:r>
      <w:r w:rsidRPr="00ED0EC8">
        <w:rPr>
          <w:rFonts w:ascii="Calibri" w:hAnsi="Calibri" w:cs="Calibri"/>
        </w:rPr>
        <w:br/>
        <w:t>Funkcja TWS</w:t>
      </w:r>
      <w:r w:rsidRPr="00ED0EC8">
        <w:rPr>
          <w:rFonts w:ascii="Calibri" w:hAnsi="Calibri" w:cs="Calibri"/>
        </w:rPr>
        <w:br/>
        <w:t>Funkcja powerbanku</w:t>
      </w:r>
      <w:r w:rsidRPr="00ED0EC8">
        <w:rPr>
          <w:rFonts w:ascii="Calibri" w:hAnsi="Calibri" w:cs="Calibri"/>
        </w:rPr>
        <w:br/>
        <w:t>Bluetooth: 5.3</w:t>
      </w:r>
      <w:r w:rsidRPr="00ED0EC8">
        <w:rPr>
          <w:rFonts w:ascii="Calibri" w:hAnsi="Calibri" w:cs="Calibri"/>
        </w:rPr>
        <w:br/>
        <w:t>4 wejścia (BT, AUX, karta TF, USB)</w:t>
      </w:r>
      <w:r w:rsidRPr="00ED0EC8">
        <w:rPr>
          <w:rFonts w:ascii="Calibri" w:hAnsi="Calibri" w:cs="Calibri"/>
        </w:rPr>
        <w:br/>
        <w:t>Średnica przetwornika / impedancja: 2 × 2,5” / 4 Ω</w:t>
      </w:r>
      <w:r w:rsidRPr="00ED0EC8">
        <w:rPr>
          <w:rFonts w:ascii="Calibri" w:hAnsi="Calibri" w:cs="Calibri"/>
        </w:rPr>
        <w:br/>
        <w:t>Zakres częstotliwości: 80 Hz – 20 kHz</w:t>
      </w:r>
      <w:r w:rsidRPr="00ED0EC8">
        <w:rPr>
          <w:rFonts w:ascii="Calibri" w:hAnsi="Calibri" w:cs="Calibri"/>
        </w:rPr>
        <w:br/>
        <w:t>Waga głośnika: 1,11 kg</w:t>
      </w:r>
      <w:r w:rsidRPr="00ED0EC8">
        <w:rPr>
          <w:rFonts w:ascii="Calibri" w:hAnsi="Calibri" w:cs="Calibri"/>
        </w:rPr>
        <w:br/>
        <w:t>Typ ładowania: USB-C (5 V, 2 A)</w:t>
      </w:r>
      <w:r w:rsidRPr="00ED0EC8">
        <w:rPr>
          <w:rFonts w:ascii="Calibri" w:hAnsi="Calibri" w:cs="Calibri"/>
        </w:rPr>
        <w:br/>
        <w:t>Kolor: czarny</w:t>
      </w:r>
    </w:p>
    <w:sectPr w:rsidR="00B745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6FB1A3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05F1E1F"/>
    <w:multiLevelType w:val="multilevel"/>
    <w:tmpl w:val="A60EE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A509D1"/>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5C978D96"/>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6FE574E7"/>
    <w:multiLevelType w:val="hybridMultilevel"/>
    <w:tmpl w:val="1126470C"/>
    <w:lvl w:ilvl="0" w:tplc="031E1640">
      <w:start w:val="1"/>
      <w:numFmt w:val="bullet"/>
      <w:lvlText w:val=""/>
      <w:lvlJc w:val="left"/>
      <w:pPr>
        <w:tabs>
          <w:tab w:val="num" w:pos="720"/>
        </w:tabs>
        <w:ind w:left="720" w:hanging="360"/>
      </w:pPr>
      <w:rPr>
        <w:rFonts w:ascii="Wingdings" w:hAnsi="Wingdings" w:hint="default"/>
      </w:rPr>
    </w:lvl>
    <w:lvl w:ilvl="1" w:tplc="EC7627E0" w:tentative="1">
      <w:start w:val="1"/>
      <w:numFmt w:val="bullet"/>
      <w:lvlText w:val=""/>
      <w:lvlJc w:val="left"/>
      <w:pPr>
        <w:tabs>
          <w:tab w:val="num" w:pos="1440"/>
        </w:tabs>
        <w:ind w:left="1440" w:hanging="360"/>
      </w:pPr>
      <w:rPr>
        <w:rFonts w:ascii="Wingdings" w:hAnsi="Wingdings" w:hint="default"/>
      </w:rPr>
    </w:lvl>
    <w:lvl w:ilvl="2" w:tplc="041C05DA" w:tentative="1">
      <w:start w:val="1"/>
      <w:numFmt w:val="bullet"/>
      <w:lvlText w:val=""/>
      <w:lvlJc w:val="left"/>
      <w:pPr>
        <w:tabs>
          <w:tab w:val="num" w:pos="2160"/>
        </w:tabs>
        <w:ind w:left="2160" w:hanging="360"/>
      </w:pPr>
      <w:rPr>
        <w:rFonts w:ascii="Wingdings" w:hAnsi="Wingdings" w:hint="default"/>
      </w:rPr>
    </w:lvl>
    <w:lvl w:ilvl="3" w:tplc="E0CA23F8" w:tentative="1">
      <w:start w:val="1"/>
      <w:numFmt w:val="bullet"/>
      <w:lvlText w:val=""/>
      <w:lvlJc w:val="left"/>
      <w:pPr>
        <w:tabs>
          <w:tab w:val="num" w:pos="2880"/>
        </w:tabs>
        <w:ind w:left="2880" w:hanging="360"/>
      </w:pPr>
      <w:rPr>
        <w:rFonts w:ascii="Wingdings" w:hAnsi="Wingdings" w:hint="default"/>
      </w:rPr>
    </w:lvl>
    <w:lvl w:ilvl="4" w:tplc="5E1485E2" w:tentative="1">
      <w:start w:val="1"/>
      <w:numFmt w:val="bullet"/>
      <w:lvlText w:val=""/>
      <w:lvlJc w:val="left"/>
      <w:pPr>
        <w:tabs>
          <w:tab w:val="num" w:pos="3600"/>
        </w:tabs>
        <w:ind w:left="3600" w:hanging="360"/>
      </w:pPr>
      <w:rPr>
        <w:rFonts w:ascii="Wingdings" w:hAnsi="Wingdings" w:hint="default"/>
      </w:rPr>
    </w:lvl>
    <w:lvl w:ilvl="5" w:tplc="D480E4B0" w:tentative="1">
      <w:start w:val="1"/>
      <w:numFmt w:val="bullet"/>
      <w:lvlText w:val=""/>
      <w:lvlJc w:val="left"/>
      <w:pPr>
        <w:tabs>
          <w:tab w:val="num" w:pos="4320"/>
        </w:tabs>
        <w:ind w:left="4320" w:hanging="360"/>
      </w:pPr>
      <w:rPr>
        <w:rFonts w:ascii="Wingdings" w:hAnsi="Wingdings" w:hint="default"/>
      </w:rPr>
    </w:lvl>
    <w:lvl w:ilvl="6" w:tplc="F384C484" w:tentative="1">
      <w:start w:val="1"/>
      <w:numFmt w:val="bullet"/>
      <w:lvlText w:val=""/>
      <w:lvlJc w:val="left"/>
      <w:pPr>
        <w:tabs>
          <w:tab w:val="num" w:pos="5040"/>
        </w:tabs>
        <w:ind w:left="5040" w:hanging="360"/>
      </w:pPr>
      <w:rPr>
        <w:rFonts w:ascii="Wingdings" w:hAnsi="Wingdings" w:hint="default"/>
      </w:rPr>
    </w:lvl>
    <w:lvl w:ilvl="7" w:tplc="B11CF9A6" w:tentative="1">
      <w:start w:val="1"/>
      <w:numFmt w:val="bullet"/>
      <w:lvlText w:val=""/>
      <w:lvlJc w:val="left"/>
      <w:pPr>
        <w:tabs>
          <w:tab w:val="num" w:pos="5760"/>
        </w:tabs>
        <w:ind w:left="5760" w:hanging="360"/>
      </w:pPr>
      <w:rPr>
        <w:rFonts w:ascii="Wingdings" w:hAnsi="Wingdings" w:hint="default"/>
      </w:rPr>
    </w:lvl>
    <w:lvl w:ilvl="8" w:tplc="FBA0AFF4" w:tentative="1">
      <w:start w:val="1"/>
      <w:numFmt w:val="bullet"/>
      <w:lvlText w:val=""/>
      <w:lvlJc w:val="left"/>
      <w:pPr>
        <w:tabs>
          <w:tab w:val="num" w:pos="6480"/>
        </w:tabs>
        <w:ind w:left="6480" w:hanging="360"/>
      </w:pPr>
      <w:rPr>
        <w:rFonts w:ascii="Wingdings" w:hAnsi="Wingdings" w:hint="default"/>
      </w:rPr>
    </w:lvl>
  </w:abstractNum>
  <w:num w:numId="1" w16cid:durableId="1266158879">
    <w:abstractNumId w:val="1"/>
  </w:num>
  <w:num w:numId="2" w16cid:durableId="1226376190">
    <w:abstractNumId w:val="0"/>
  </w:num>
  <w:num w:numId="3" w16cid:durableId="1555698689">
    <w:abstractNumId w:val="2"/>
  </w:num>
  <w:num w:numId="4" w16cid:durableId="376390741">
    <w:abstractNumId w:val="3"/>
  </w:num>
  <w:num w:numId="5" w16cid:durableId="17826513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54C"/>
    <w:rsid w:val="00004C71"/>
    <w:rsid w:val="00017C4B"/>
    <w:rsid w:val="00017C8B"/>
    <w:rsid w:val="000202CB"/>
    <w:rsid w:val="00027BAC"/>
    <w:rsid w:val="000306ED"/>
    <w:rsid w:val="000341E9"/>
    <w:rsid w:val="00041214"/>
    <w:rsid w:val="00046A62"/>
    <w:rsid w:val="000532F1"/>
    <w:rsid w:val="00056B50"/>
    <w:rsid w:val="0008466C"/>
    <w:rsid w:val="00085C22"/>
    <w:rsid w:val="000950F8"/>
    <w:rsid w:val="000A5A45"/>
    <w:rsid w:val="000B3A40"/>
    <w:rsid w:val="000B54A4"/>
    <w:rsid w:val="000E2675"/>
    <w:rsid w:val="000E42D1"/>
    <w:rsid w:val="000F2CCC"/>
    <w:rsid w:val="0010259C"/>
    <w:rsid w:val="0010302C"/>
    <w:rsid w:val="00111C1C"/>
    <w:rsid w:val="00133B27"/>
    <w:rsid w:val="00134461"/>
    <w:rsid w:val="001347D8"/>
    <w:rsid w:val="001366C3"/>
    <w:rsid w:val="00136CEA"/>
    <w:rsid w:val="00137653"/>
    <w:rsid w:val="0015326A"/>
    <w:rsid w:val="00155629"/>
    <w:rsid w:val="00155702"/>
    <w:rsid w:val="0016001B"/>
    <w:rsid w:val="001615A4"/>
    <w:rsid w:val="0018112D"/>
    <w:rsid w:val="00196D1A"/>
    <w:rsid w:val="001A27D2"/>
    <w:rsid w:val="001C76AD"/>
    <w:rsid w:val="001E57D6"/>
    <w:rsid w:val="001F0DF0"/>
    <w:rsid w:val="001F5D90"/>
    <w:rsid w:val="001F63A9"/>
    <w:rsid w:val="0020570E"/>
    <w:rsid w:val="00212669"/>
    <w:rsid w:val="00214A3C"/>
    <w:rsid w:val="00215861"/>
    <w:rsid w:val="00215CF6"/>
    <w:rsid w:val="0022582D"/>
    <w:rsid w:val="00227191"/>
    <w:rsid w:val="0022799B"/>
    <w:rsid w:val="002467B7"/>
    <w:rsid w:val="002523E1"/>
    <w:rsid w:val="0026085F"/>
    <w:rsid w:val="00265237"/>
    <w:rsid w:val="0027022A"/>
    <w:rsid w:val="002710EE"/>
    <w:rsid w:val="00280EBE"/>
    <w:rsid w:val="0028587B"/>
    <w:rsid w:val="00286549"/>
    <w:rsid w:val="00294866"/>
    <w:rsid w:val="002C1E34"/>
    <w:rsid w:val="002C7399"/>
    <w:rsid w:val="002D1FBB"/>
    <w:rsid w:val="002D36BA"/>
    <w:rsid w:val="002D7746"/>
    <w:rsid w:val="002D7AD8"/>
    <w:rsid w:val="002E1DDF"/>
    <w:rsid w:val="002E5E26"/>
    <w:rsid w:val="002F17F1"/>
    <w:rsid w:val="002F75AE"/>
    <w:rsid w:val="003044DD"/>
    <w:rsid w:val="003066A5"/>
    <w:rsid w:val="003105C8"/>
    <w:rsid w:val="0031150C"/>
    <w:rsid w:val="00311EFF"/>
    <w:rsid w:val="003124AA"/>
    <w:rsid w:val="00324476"/>
    <w:rsid w:val="00343C37"/>
    <w:rsid w:val="003531A5"/>
    <w:rsid w:val="00367D3D"/>
    <w:rsid w:val="00383FCD"/>
    <w:rsid w:val="003910FF"/>
    <w:rsid w:val="003B7874"/>
    <w:rsid w:val="003C2079"/>
    <w:rsid w:val="003D25B7"/>
    <w:rsid w:val="003D29D6"/>
    <w:rsid w:val="003D3CE0"/>
    <w:rsid w:val="003F6495"/>
    <w:rsid w:val="00403391"/>
    <w:rsid w:val="004071C7"/>
    <w:rsid w:val="004200D9"/>
    <w:rsid w:val="00442FFB"/>
    <w:rsid w:val="0044768C"/>
    <w:rsid w:val="00452E86"/>
    <w:rsid w:val="004572E5"/>
    <w:rsid w:val="00461A1D"/>
    <w:rsid w:val="0047431B"/>
    <w:rsid w:val="00477D2B"/>
    <w:rsid w:val="00486034"/>
    <w:rsid w:val="004863EB"/>
    <w:rsid w:val="004C5768"/>
    <w:rsid w:val="004D5CE2"/>
    <w:rsid w:val="004D612D"/>
    <w:rsid w:val="004E3E6C"/>
    <w:rsid w:val="004E7E29"/>
    <w:rsid w:val="004F26C8"/>
    <w:rsid w:val="004F428D"/>
    <w:rsid w:val="005033CD"/>
    <w:rsid w:val="00510685"/>
    <w:rsid w:val="00510E67"/>
    <w:rsid w:val="00517D05"/>
    <w:rsid w:val="00520169"/>
    <w:rsid w:val="00537CDD"/>
    <w:rsid w:val="0054685D"/>
    <w:rsid w:val="00575527"/>
    <w:rsid w:val="00575E39"/>
    <w:rsid w:val="00583ED0"/>
    <w:rsid w:val="005A3225"/>
    <w:rsid w:val="005B700F"/>
    <w:rsid w:val="005D798A"/>
    <w:rsid w:val="005E254C"/>
    <w:rsid w:val="005F0369"/>
    <w:rsid w:val="005F050A"/>
    <w:rsid w:val="005F21D7"/>
    <w:rsid w:val="00602E23"/>
    <w:rsid w:val="006207D8"/>
    <w:rsid w:val="00621840"/>
    <w:rsid w:val="00624530"/>
    <w:rsid w:val="00625110"/>
    <w:rsid w:val="00625A8B"/>
    <w:rsid w:val="006367EB"/>
    <w:rsid w:val="00655AFB"/>
    <w:rsid w:val="00655EE5"/>
    <w:rsid w:val="006669A3"/>
    <w:rsid w:val="0066728B"/>
    <w:rsid w:val="00675993"/>
    <w:rsid w:val="006909FA"/>
    <w:rsid w:val="006A2762"/>
    <w:rsid w:val="006A7F84"/>
    <w:rsid w:val="006B5B43"/>
    <w:rsid w:val="006B7B15"/>
    <w:rsid w:val="006C1F7A"/>
    <w:rsid w:val="006C5B41"/>
    <w:rsid w:val="006D655E"/>
    <w:rsid w:val="006F3837"/>
    <w:rsid w:val="0070392D"/>
    <w:rsid w:val="007041EB"/>
    <w:rsid w:val="00715FDE"/>
    <w:rsid w:val="00722934"/>
    <w:rsid w:val="00731E28"/>
    <w:rsid w:val="00744DE7"/>
    <w:rsid w:val="00774FC1"/>
    <w:rsid w:val="0079303B"/>
    <w:rsid w:val="00794284"/>
    <w:rsid w:val="007A2898"/>
    <w:rsid w:val="007B6077"/>
    <w:rsid w:val="007D5707"/>
    <w:rsid w:val="007E6101"/>
    <w:rsid w:val="007E66CA"/>
    <w:rsid w:val="007F1138"/>
    <w:rsid w:val="007F126F"/>
    <w:rsid w:val="008050A7"/>
    <w:rsid w:val="00805CBA"/>
    <w:rsid w:val="00827397"/>
    <w:rsid w:val="00830D8E"/>
    <w:rsid w:val="00882475"/>
    <w:rsid w:val="00890113"/>
    <w:rsid w:val="00893794"/>
    <w:rsid w:val="008A019D"/>
    <w:rsid w:val="008A3E62"/>
    <w:rsid w:val="008B5742"/>
    <w:rsid w:val="008C49B4"/>
    <w:rsid w:val="008C78CA"/>
    <w:rsid w:val="008E2550"/>
    <w:rsid w:val="008E4AAF"/>
    <w:rsid w:val="008E4B4C"/>
    <w:rsid w:val="008E4B91"/>
    <w:rsid w:val="008F2CEB"/>
    <w:rsid w:val="008F3FE8"/>
    <w:rsid w:val="00900D9D"/>
    <w:rsid w:val="00907A3D"/>
    <w:rsid w:val="00913A34"/>
    <w:rsid w:val="00915685"/>
    <w:rsid w:val="009171A0"/>
    <w:rsid w:val="00940365"/>
    <w:rsid w:val="009423FC"/>
    <w:rsid w:val="00943FF1"/>
    <w:rsid w:val="00947196"/>
    <w:rsid w:val="00957B02"/>
    <w:rsid w:val="00972EE7"/>
    <w:rsid w:val="00981343"/>
    <w:rsid w:val="009836ED"/>
    <w:rsid w:val="00996435"/>
    <w:rsid w:val="009D0324"/>
    <w:rsid w:val="009D0974"/>
    <w:rsid w:val="009E13EE"/>
    <w:rsid w:val="009E3A79"/>
    <w:rsid w:val="009F0EAB"/>
    <w:rsid w:val="009F7698"/>
    <w:rsid w:val="00A059A9"/>
    <w:rsid w:val="00A10909"/>
    <w:rsid w:val="00A21E5D"/>
    <w:rsid w:val="00A62771"/>
    <w:rsid w:val="00A71E72"/>
    <w:rsid w:val="00A7485A"/>
    <w:rsid w:val="00A74FB3"/>
    <w:rsid w:val="00A7513C"/>
    <w:rsid w:val="00A75CA5"/>
    <w:rsid w:val="00A7710D"/>
    <w:rsid w:val="00A8342C"/>
    <w:rsid w:val="00A84162"/>
    <w:rsid w:val="00AA736C"/>
    <w:rsid w:val="00AB186A"/>
    <w:rsid w:val="00AB2FCE"/>
    <w:rsid w:val="00AC189A"/>
    <w:rsid w:val="00AD2596"/>
    <w:rsid w:val="00AE121C"/>
    <w:rsid w:val="00AF1D20"/>
    <w:rsid w:val="00B01D7F"/>
    <w:rsid w:val="00B076FC"/>
    <w:rsid w:val="00B53474"/>
    <w:rsid w:val="00B5511A"/>
    <w:rsid w:val="00B57891"/>
    <w:rsid w:val="00B70DAC"/>
    <w:rsid w:val="00B715F2"/>
    <w:rsid w:val="00B74579"/>
    <w:rsid w:val="00B74D51"/>
    <w:rsid w:val="00B770DD"/>
    <w:rsid w:val="00B91B2F"/>
    <w:rsid w:val="00B931C9"/>
    <w:rsid w:val="00BA36D6"/>
    <w:rsid w:val="00BC1746"/>
    <w:rsid w:val="00BC33F1"/>
    <w:rsid w:val="00BD05E1"/>
    <w:rsid w:val="00BD53D5"/>
    <w:rsid w:val="00BE42F5"/>
    <w:rsid w:val="00BE437D"/>
    <w:rsid w:val="00BE456F"/>
    <w:rsid w:val="00BE6090"/>
    <w:rsid w:val="00BE6E5B"/>
    <w:rsid w:val="00BE6E93"/>
    <w:rsid w:val="00BE7857"/>
    <w:rsid w:val="00BF547E"/>
    <w:rsid w:val="00C00D2E"/>
    <w:rsid w:val="00C03F8B"/>
    <w:rsid w:val="00C05895"/>
    <w:rsid w:val="00C12F6F"/>
    <w:rsid w:val="00C25229"/>
    <w:rsid w:val="00C409EC"/>
    <w:rsid w:val="00C51575"/>
    <w:rsid w:val="00C570F3"/>
    <w:rsid w:val="00C6136C"/>
    <w:rsid w:val="00C716B5"/>
    <w:rsid w:val="00C7658A"/>
    <w:rsid w:val="00CA29E9"/>
    <w:rsid w:val="00CA3330"/>
    <w:rsid w:val="00CA3DBB"/>
    <w:rsid w:val="00CA69C2"/>
    <w:rsid w:val="00CB6DB8"/>
    <w:rsid w:val="00D02456"/>
    <w:rsid w:val="00D0412C"/>
    <w:rsid w:val="00D12DDF"/>
    <w:rsid w:val="00D13EF4"/>
    <w:rsid w:val="00D417C5"/>
    <w:rsid w:val="00D55BDB"/>
    <w:rsid w:val="00D76476"/>
    <w:rsid w:val="00D86602"/>
    <w:rsid w:val="00DC349F"/>
    <w:rsid w:val="00DD199A"/>
    <w:rsid w:val="00DD24DB"/>
    <w:rsid w:val="00DE1DA0"/>
    <w:rsid w:val="00DF7F22"/>
    <w:rsid w:val="00E038D2"/>
    <w:rsid w:val="00E03CD3"/>
    <w:rsid w:val="00E21761"/>
    <w:rsid w:val="00E3221C"/>
    <w:rsid w:val="00E32F93"/>
    <w:rsid w:val="00E41BA0"/>
    <w:rsid w:val="00E52A6B"/>
    <w:rsid w:val="00E5569E"/>
    <w:rsid w:val="00E83A74"/>
    <w:rsid w:val="00E84EF5"/>
    <w:rsid w:val="00EA3367"/>
    <w:rsid w:val="00EA35E0"/>
    <w:rsid w:val="00EB61DF"/>
    <w:rsid w:val="00ED0EC8"/>
    <w:rsid w:val="00ED6178"/>
    <w:rsid w:val="00EE1167"/>
    <w:rsid w:val="00F06E4F"/>
    <w:rsid w:val="00F11D9B"/>
    <w:rsid w:val="00F124B7"/>
    <w:rsid w:val="00F16740"/>
    <w:rsid w:val="00F17567"/>
    <w:rsid w:val="00F276AE"/>
    <w:rsid w:val="00F50C70"/>
    <w:rsid w:val="00F575E5"/>
    <w:rsid w:val="00F7344D"/>
    <w:rsid w:val="00F779CC"/>
    <w:rsid w:val="00F82CA2"/>
    <w:rsid w:val="00F91712"/>
    <w:rsid w:val="00FB254C"/>
    <w:rsid w:val="00FB348A"/>
    <w:rsid w:val="00FB502A"/>
    <w:rsid w:val="00FC1A73"/>
    <w:rsid w:val="00FC60A4"/>
    <w:rsid w:val="00FD30B6"/>
    <w:rsid w:val="00FD425A"/>
    <w:rsid w:val="00FD5125"/>
    <w:rsid w:val="00FD68D4"/>
    <w:rsid w:val="00FE00E5"/>
    <w:rsid w:val="00FE167A"/>
    <w:rsid w:val="00FE2406"/>
    <w:rsid w:val="00FE6B2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852DC"/>
  <w15:chartTrackingRefBased/>
  <w15:docId w15:val="{9C8DC1B6-CCAB-4787-AA48-DE7BF8D6A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cs-C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FB25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FB25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FB254C"/>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FB254C"/>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FB254C"/>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FB254C"/>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FB254C"/>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FB254C"/>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FB254C"/>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B254C"/>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FB254C"/>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FB254C"/>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FB254C"/>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FB254C"/>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FB254C"/>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FB254C"/>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FB254C"/>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FB254C"/>
    <w:rPr>
      <w:rFonts w:eastAsiaTheme="majorEastAsia" w:cstheme="majorBidi"/>
      <w:color w:val="272727" w:themeColor="text1" w:themeTint="D8"/>
    </w:rPr>
  </w:style>
  <w:style w:type="paragraph" w:styleId="Tytu">
    <w:name w:val="Title"/>
    <w:basedOn w:val="Normalny"/>
    <w:next w:val="Normalny"/>
    <w:link w:val="TytuZnak"/>
    <w:uiPriority w:val="10"/>
    <w:qFormat/>
    <w:rsid w:val="00FB25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FB254C"/>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FB254C"/>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FB254C"/>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FB254C"/>
    <w:pPr>
      <w:spacing w:before="160"/>
      <w:jc w:val="center"/>
    </w:pPr>
    <w:rPr>
      <w:i/>
      <w:iCs/>
      <w:color w:val="404040" w:themeColor="text1" w:themeTint="BF"/>
    </w:rPr>
  </w:style>
  <w:style w:type="character" w:customStyle="1" w:styleId="CytatZnak">
    <w:name w:val="Cytat Znak"/>
    <w:basedOn w:val="Domylnaczcionkaakapitu"/>
    <w:link w:val="Cytat"/>
    <w:uiPriority w:val="29"/>
    <w:rsid w:val="00FB254C"/>
    <w:rPr>
      <w:i/>
      <w:iCs/>
      <w:color w:val="404040" w:themeColor="text1" w:themeTint="BF"/>
    </w:rPr>
  </w:style>
  <w:style w:type="paragraph" w:styleId="Akapitzlist">
    <w:name w:val="List Paragraph"/>
    <w:basedOn w:val="Normalny"/>
    <w:uiPriority w:val="34"/>
    <w:qFormat/>
    <w:rsid w:val="00FB254C"/>
    <w:pPr>
      <w:ind w:left="720"/>
      <w:contextualSpacing/>
    </w:pPr>
  </w:style>
  <w:style w:type="character" w:styleId="Wyrnienieintensywne">
    <w:name w:val="Intense Emphasis"/>
    <w:basedOn w:val="Domylnaczcionkaakapitu"/>
    <w:uiPriority w:val="21"/>
    <w:qFormat/>
    <w:rsid w:val="00FB254C"/>
    <w:rPr>
      <w:i/>
      <w:iCs/>
      <w:color w:val="0F4761" w:themeColor="accent1" w:themeShade="BF"/>
    </w:rPr>
  </w:style>
  <w:style w:type="paragraph" w:styleId="Cytatintensywny">
    <w:name w:val="Intense Quote"/>
    <w:basedOn w:val="Normalny"/>
    <w:next w:val="Normalny"/>
    <w:link w:val="CytatintensywnyZnak"/>
    <w:uiPriority w:val="30"/>
    <w:qFormat/>
    <w:rsid w:val="00FB25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FB254C"/>
    <w:rPr>
      <w:i/>
      <w:iCs/>
      <w:color w:val="0F4761" w:themeColor="accent1" w:themeShade="BF"/>
    </w:rPr>
  </w:style>
  <w:style w:type="character" w:styleId="Odwoanieintensywne">
    <w:name w:val="Intense Reference"/>
    <w:basedOn w:val="Domylnaczcionkaakapitu"/>
    <w:uiPriority w:val="32"/>
    <w:qFormat/>
    <w:rsid w:val="00FB254C"/>
    <w:rPr>
      <w:b/>
      <w:bCs/>
      <w:smallCaps/>
      <w:color w:val="0F4761" w:themeColor="accent1" w:themeShade="BF"/>
      <w:spacing w:val="5"/>
    </w:rPr>
  </w:style>
  <w:style w:type="character" w:styleId="Hipercze">
    <w:name w:val="Hyperlink"/>
    <w:basedOn w:val="Domylnaczcionkaakapitu"/>
    <w:uiPriority w:val="99"/>
    <w:unhideWhenUsed/>
    <w:rsid w:val="00FE00E5"/>
    <w:rPr>
      <w:color w:val="467886" w:themeColor="hyperlink"/>
      <w:u w:val="single"/>
    </w:rPr>
  </w:style>
  <w:style w:type="character" w:styleId="Nierozpoznanawzmianka">
    <w:name w:val="Unresolved Mention"/>
    <w:basedOn w:val="Domylnaczcionkaakapitu"/>
    <w:uiPriority w:val="99"/>
    <w:semiHidden/>
    <w:unhideWhenUsed/>
    <w:rsid w:val="00FE0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217</TotalTime>
  <Pages>1</Pages>
  <Words>446</Words>
  <Characters>2678</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Kateřina Gerčáková</dc:creator>
  <cp:keywords/>
  <dc:description/>
  <cp:lastModifiedBy>Magdalena Borucińska</cp:lastModifiedBy>
  <cp:revision>68</cp:revision>
  <dcterms:created xsi:type="dcterms:W3CDTF">2025-09-23T10:20:00Z</dcterms:created>
  <dcterms:modified xsi:type="dcterms:W3CDTF">2026-02-27T11:56:00Z</dcterms:modified>
</cp:coreProperties>
</file>